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FFFFFF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FFFFFF" w:val="clear"/>
          <w:vertAlign w:val="baseline"/>
        </w:rPr>
      </w:r>
    </w:p>
    <w:tbl>
      <w:tblPr>
        <w:tblStyle w:val="Table1"/>
        <w:tblW w:w="10574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3265"/>
        <w:gridCol w:w="7308"/>
      </w:tblGrid>
      <w:tr>
        <w:trPr>
          <w:trHeight w:val="567" w:hRule="atLeast"/>
        </w:trPr>
        <w:tc>
          <w:tcPr>
            <w:tcW w:w="105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rFonts w:ascii="Verdana" w:hAnsi="Verdana" w:eastAsia="Verdana" w:cs="Verdana"/>
                <w:b/>
                <w:b/>
              </w:rPr>
            </w:pPr>
            <w:bookmarkStart w:id="0" w:name="_heading=h.gjdgxs"/>
            <w:bookmarkEnd w:id="0"/>
            <w:r>
              <w:rPr>
                <w:rFonts w:eastAsia="Verdana" w:cs="Verdana" w:ascii="Verdana" w:hAnsi="Verdana"/>
                <w:b/>
                <w:sz w:val="22"/>
                <w:szCs w:val="22"/>
              </w:rPr>
              <w:t>A.S. 2022/20223            UDA Multidisciplinare di educazione civica (33 ore annuali)</w:t>
            </w:r>
          </w:p>
        </w:tc>
      </w:tr>
      <w:tr>
        <w:trPr>
          <w:trHeight w:val="567" w:hRule="atLeast"/>
        </w:trPr>
        <w:tc>
          <w:tcPr>
            <w:tcW w:w="3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FFFFFF" w:val="clear"/>
                <w:vertAlign w:val="baseline"/>
              </w:rPr>
              <w:t>TITOLO</w:t>
            </w:r>
          </w:p>
        </w:tc>
        <w:tc>
          <w:tcPr>
            <w:tcW w:w="73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24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smallCaps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smallCaps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FFFFFF" w:val="clear"/>
                <w:vertAlign w:val="baseline"/>
              </w:rPr>
              <w:t>“</w:t>
            </w:r>
            <w:r>
              <w:rPr>
                <w:rFonts w:eastAsia="Times New Roman" w:cs="Times New Roman"/>
                <w:b/>
                <w:i w:val="false"/>
                <w:smallCaps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FFFFFF" w:val="clear"/>
                <w:vertAlign w:val="baseline"/>
              </w:rPr>
              <w:t>GIOVANI VOLONTARI: COME ANIMARE LA SOLITUDINE”</w:t>
            </w:r>
          </w:p>
          <w:p>
            <w:pPr>
              <w:pStyle w:val="Normal"/>
              <w:spacing w:lineRule="auto" w:line="240"/>
              <w:jc w:val="center"/>
              <w:rPr>
                <w:rFonts w:ascii="Verdana" w:hAnsi="Verdana" w:eastAsia="Verdana" w:cs="Verdana"/>
                <w:b/>
                <w:b/>
              </w:rPr>
            </w:pPr>
            <w:r>
              <w:rPr>
                <w:rFonts w:eastAsia="Verdana" w:cs="Verdana" w:ascii="Verdana" w:hAnsi="Verdana"/>
                <w:b/>
              </w:rPr>
            </w:r>
          </w:p>
        </w:tc>
      </w:tr>
      <w:tr>
        <w:trPr>
          <w:trHeight w:val="567" w:hRule="atLeast"/>
        </w:trPr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FFFFFF" w:val="clear"/>
                <w:vertAlign w:val="baseline"/>
              </w:rPr>
              <w:t>CLASSE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FFFFFF" w:val="clear"/>
                <w:vertAlign w:val="baseline"/>
              </w:rPr>
              <w:t xml:space="preserve">4B </w:t>
            </w:r>
          </w:p>
        </w:tc>
      </w:tr>
      <w:tr>
        <w:trPr>
          <w:trHeight w:val="1274" w:hRule="atLeast"/>
        </w:trPr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DISCIPLINE COINVOLTE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Italiano   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Legislazione socio-sanitaria    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Psicologia   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Igiene   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Scienze motorie   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Metodologie operative   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left="1077" w:right="0" w:hanging="36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Inglese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1077" w:right="0" w:hanging="0"/>
              <w:jc w:val="both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COMPETENZE DI CITTADINANZA DA SOLLECITARE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numPr>
                <w:ilvl w:val="0"/>
                <w:numId w:val="4"/>
              </w:numPr>
              <w:spacing w:lineRule="auto" w:line="240" w:before="120" w:after="0"/>
              <w:ind w:left="284" w:hanging="171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Agire in modo autonomo e responsabile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pacing w:lineRule="auto" w:line="240"/>
              <w:ind w:left="284" w:hanging="171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Risolvere problemi</w:t>
            </w:r>
          </w:p>
          <w:p>
            <w:pPr>
              <w:pStyle w:val="Normal"/>
              <w:keepNext/>
              <w:keepLines w:val="false"/>
              <w:widowControl w:val="false"/>
              <w:numPr>
                <w:ilvl w:val="0"/>
                <w:numId w:val="4"/>
              </w:numPr>
              <w:pBdr/>
              <w:shd w:val="clear" w:fill="auto"/>
              <w:spacing w:lineRule="auto" w:line="240" w:before="0" w:after="120"/>
              <w:ind w:left="284" w:right="0" w:hanging="171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Acquisire ed interpretare l’informazione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4"/>
              </w:numPr>
              <w:pBdr/>
              <w:shd w:val="clear" w:fill="auto"/>
              <w:spacing w:lineRule="auto" w:line="240" w:before="0" w:after="0"/>
              <w:ind w:left="284" w:right="0" w:hanging="171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Individuare collegamenti e relazioni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4"/>
              </w:numPr>
              <w:pBdr/>
              <w:shd w:val="clear" w:fill="auto"/>
              <w:spacing w:lineRule="auto" w:line="240" w:before="0" w:after="0"/>
              <w:ind w:left="284" w:right="0" w:hanging="171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Collaborare e partecipare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284" w:right="0" w:hanging="0"/>
              <w:jc w:val="both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COMPETENZE TRASVERSALI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pBdr/>
              <w:shd w:val="clear" w:fill="auto"/>
              <w:spacing w:lineRule="auto" w:line="240" w:before="120" w:after="0"/>
              <w:ind w:left="284" w:right="0" w:hanging="171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Utilizzare metodologie e strumenti operativi per collaborare a rilevare i bisogni di socialità nei luoghi di cura e di assistenza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pBdr/>
              <w:shd w:val="clear" w:fill="auto"/>
              <w:spacing w:lineRule="auto" w:line="240" w:before="0" w:after="0"/>
              <w:ind w:left="284" w:right="0" w:hanging="171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Individuare modalità comunicative e relazionali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left" w:pos="125" w:leader="none"/>
                <w:tab w:val="left" w:pos="433" w:leader="none"/>
                <w:tab w:val="left" w:pos="609" w:leader="none"/>
              </w:tabs>
              <w:spacing w:lineRule="auto" w:line="240"/>
              <w:ind w:left="284" w:hanging="171"/>
              <w:jc w:val="both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Collaborare nella gestione di progetti ed attività educative, ricreative e culturali utilizzando le principali tecniche di animazione sociale, ludica e culturale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120"/>
              <w:ind w:left="284" w:hanging="171"/>
              <w:jc w:val="both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Contribuire a promuovere stili di vita rispettosi delle norme igieniche, per la tutela del diritto alla salute e al benessere bio-psico-sociale delle persone </w:t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SITUAZIONE DI COMPITO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3"/>
              </w:numPr>
              <w:spacing w:lineRule="auto" w:line="240" w:before="120" w:after="120"/>
              <w:ind w:left="284" w:hanging="171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Progettazione e realizzazione di un’attività di animazione da proporre agli ospiti di luoghi di cura e assistenza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120" w:after="120"/>
              <w:ind w:left="284" w:hanging="171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Presentazione di una relazione scritta dell’attività in cui vengano specificati finalità ed obiettivi e in cui siano evidenziate le competenze acquisite nel corso dell’esperienza PCTO effettuata o da effettuare</w:t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TEMPI 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120" w:after="12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  </w:t>
            </w:r>
            <w:r>
              <w:rPr>
                <w:rFonts w:eastAsia="Verdana" w:cs="Verdana" w:ascii="Verdana" w:hAnsi="Verdana"/>
                <w:sz w:val="20"/>
                <w:szCs w:val="20"/>
              </w:rPr>
              <w:t>Primo e Secondo Quadrimestre-33 ore totali</w:t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FASI DI REALIZZAZIONE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spacing w:lineRule="auto" w:line="240" w:before="120" w:after="0"/>
              <w:rPr>
                <w:rFonts w:ascii="Verdana" w:hAnsi="Verdana" w:eastAsia="Verdana" w:cs="Verdana"/>
                <w:color w:val="000000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color w:val="000000"/>
                <w:sz w:val="20"/>
                <w:szCs w:val="20"/>
              </w:rPr>
              <w:t xml:space="preserve">F1: 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Descrizione agli alunni del lavoro da svolgere per  </w:t>
            </w:r>
          </w:p>
          <w:p>
            <w:pPr>
              <w:pStyle w:val="Normal"/>
              <w:widowControl/>
              <w:spacing w:lineRule="auto" w:line="240"/>
              <w:rPr>
                <w:rFonts w:ascii="Verdana" w:hAnsi="Verdana" w:eastAsia="Verdana" w:cs="Verdana"/>
                <w:color w:val="000000"/>
                <w:sz w:val="20"/>
                <w:szCs w:val="20"/>
              </w:rPr>
            </w:pP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condividere il progetto 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F2: </w:t>
            </w: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Trasmissione dei contenuti formativi da parte dei docenti 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      </w:t>
            </w: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coinvolti.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color w:val="000000"/>
                <w:sz w:val="20"/>
                <w:szCs w:val="20"/>
              </w:rPr>
              <w:t xml:space="preserve">F3: </w:t>
            </w:r>
            <w:r>
              <w:rPr>
                <w:rFonts w:eastAsia="Verdana" w:cs="Verdana" w:ascii="Verdana" w:hAnsi="Verdana"/>
                <w:sz w:val="20"/>
                <w:szCs w:val="20"/>
              </w:rPr>
              <w:t>Elaborazione individuale dei contenuti formativi</w:t>
            </w:r>
          </w:p>
          <w:p>
            <w:pPr>
              <w:pStyle w:val="Normal"/>
              <w:widowControl/>
              <w:spacing w:lineRule="auto" w:line="240"/>
              <w:rPr>
                <w:rFonts w:ascii="Verdana" w:hAnsi="Verdana" w:eastAsia="Verdana" w:cs="Verdana"/>
                <w:color w:val="000000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color w:val="000000"/>
                <w:sz w:val="20"/>
                <w:szCs w:val="20"/>
              </w:rPr>
              <w:t xml:space="preserve">F4: 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Verifica intermedia sullo stato di avanzamento dei lavori </w:t>
            </w:r>
          </w:p>
          <w:p>
            <w:pPr>
              <w:pStyle w:val="Normal"/>
              <w:widowControl/>
              <w:spacing w:lineRule="auto" w:line="240"/>
              <w:rPr>
                <w:rFonts w:ascii="Verdana" w:hAnsi="Verdana" w:eastAsia="Verdana" w:cs="Verdana"/>
                <w:color w:val="000000"/>
                <w:sz w:val="20"/>
                <w:szCs w:val="20"/>
              </w:rPr>
            </w:pP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ed eventuali azioni correttive </w:t>
            </w:r>
          </w:p>
          <w:p>
            <w:pPr>
              <w:pStyle w:val="Normal"/>
              <w:widowControl/>
              <w:spacing w:lineRule="auto" w:line="240" w:before="0" w:after="12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 xml:space="preserve">F5: </w:t>
            </w:r>
            <w:r>
              <w:rPr>
                <w:rFonts w:eastAsia="Verdana" w:cs="Verdana" w:ascii="Verdana" w:hAnsi="Verdana"/>
                <w:sz w:val="20"/>
                <w:szCs w:val="20"/>
              </w:rPr>
              <w:t>Valutazione e rendicontazione finale</w:t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ATTIVITA'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120" w:after="0"/>
              <w:ind w:left="0" w:right="0" w:hanging="0"/>
              <w:jc w:val="left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1) COORDINATRICE</w:t>
            </w: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: Presentazione dell’UDA   </w:t>
            </w: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1</w:t>
            </w: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ORA</w:t>
            </w: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        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tabs>
                <w:tab w:val="left" w:pos="125" w:leader="none"/>
              </w:tabs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2) DOCENTE di ITALIANO</w:t>
            </w: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: 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tabs>
                <w:tab w:val="left" w:pos="125" w:leader="none"/>
              </w:tabs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-ricerca online sulle principali associazioni di volontariato attive nel comune dove si trova la scuola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tabs>
                <w:tab w:val="left" w:pos="125" w:leader="none"/>
              </w:tabs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-stesura di una relazione scritta sull’attività svolta dagli studenti in veste di volontari                           </w:t>
            </w: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(4 ORE)</w:t>
            </w:r>
          </w:p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tabs>
                <w:tab w:val="left" w:pos="125" w:leader="none"/>
              </w:tabs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tabs>
                <w:tab w:val="left" w:pos="125" w:leader="none"/>
              </w:tabs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3)DOCENTE di PSICOLOGIA</w:t>
            </w:r>
            <w:r>
              <w:rPr>
                <w:rFonts w:eastAsia="Verdana" w:cs="Verdana" w:ascii="Verdana" w:hAnsi="Verdana"/>
                <w:sz w:val="20"/>
                <w:szCs w:val="20"/>
              </w:rPr>
              <w:t>:</w:t>
            </w:r>
          </w:p>
          <w:p>
            <w:pPr>
              <w:pStyle w:val="Normal"/>
              <w:tabs>
                <w:tab w:val="left" w:pos="125" w:leader="none"/>
              </w:tabs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 </w:t>
            </w:r>
            <w:r>
              <w:rPr>
                <w:rFonts w:eastAsia="Verdana" w:cs="Verdana" w:ascii="Verdana" w:hAnsi="Verdana"/>
                <w:sz w:val="20"/>
                <w:szCs w:val="20"/>
              </w:rPr>
              <w:t xml:space="preserve">-Brainstorming e definizione del concetto di disabilità/anzianità. </w:t>
            </w:r>
          </w:p>
          <w:p>
            <w:pPr>
              <w:pStyle w:val="Normal"/>
              <w:tabs>
                <w:tab w:val="left" w:pos="125" w:leader="none"/>
              </w:tabs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-lezione frontale sulle patologie del disabile/anziano di rilevanza sociale. Lavoro di gruppo: creazione di una mappa concettuale sui comportamenti per il mantenimento del benessere bio-psico-sociale degli ospiti di una RSA                                                 </w:t>
            </w: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(4 ORE)</w:t>
            </w:r>
          </w:p>
          <w:p>
            <w:pPr>
              <w:pStyle w:val="Normal"/>
              <w:tabs>
                <w:tab w:val="left" w:pos="125" w:leader="none"/>
              </w:tabs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color w:val="000000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4)DOCENTE di IGIENE</w:t>
            </w:r>
            <w:r>
              <w:rPr>
                <w:rFonts w:eastAsia="Verdana" w:cs="Verdana" w:ascii="Verdana" w:hAnsi="Verdana"/>
                <w:sz w:val="20"/>
                <w:szCs w:val="20"/>
              </w:rPr>
              <w:t xml:space="preserve">: 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> Lezione frontale sulle patologie di anziani</w:t>
            </w:r>
            <w:r>
              <w:rPr>
                <w:rFonts w:eastAsia="Verdana" w:cs="Verdana" w:ascii="Verdana" w:hAnsi="Verdana"/>
                <w:sz w:val="20"/>
                <w:szCs w:val="20"/>
              </w:rPr>
              <w:t xml:space="preserve"> e disabili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. Lavoro individuale: </w:t>
            </w:r>
            <w:r>
              <w:rPr>
                <w:rFonts w:eastAsia="Verdana" w:cs="Verdana" w:ascii="Verdana" w:hAnsi="Verdana"/>
                <w:sz w:val="20"/>
                <w:szCs w:val="20"/>
              </w:rPr>
              <w:t>progettare un’animazione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 ludica-culturale in una RSA      </w:t>
            </w:r>
            <w:r>
              <w:rPr>
                <w:rFonts w:eastAsia="Verdana" w:cs="Verdana" w:ascii="Verdana" w:hAnsi="Verdana"/>
                <w:b/>
                <w:color w:val="000000"/>
                <w:sz w:val="20"/>
                <w:szCs w:val="20"/>
              </w:rPr>
              <w:t>(4 ORE)</w:t>
            </w:r>
            <w:r>
              <w:rPr>
                <w:rFonts w:eastAsia="Verdana" w:cs="Verdana" w:ascii="Verdana" w:hAnsi="Verdana"/>
                <w:color w:val="000000"/>
                <w:sz w:val="20"/>
                <w:szCs w:val="20"/>
              </w:rPr>
              <w:t xml:space="preserve">                                                                            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 xml:space="preserve">5)DOCENTE di SCIENZE MOTORIE: 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 </w:t>
            </w:r>
            <w:r>
              <w:rPr>
                <w:rFonts w:eastAsia="Verdana" w:cs="Verdana" w:ascii="Verdana" w:hAnsi="Verdana"/>
                <w:sz w:val="20"/>
                <w:szCs w:val="20"/>
              </w:rPr>
              <w:t xml:space="preserve">lezioni frontali e sulle diverse proposte motorie attuabili con disabili/anziani (tempi di lavoro, attrezzi utilizzabili,…).Lavoro individuale:presentazione di un piano di allenamento adeguato                              </w:t>
            </w: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(4 ORE)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 xml:space="preserve">6) DOCENTE di LEGISLAZIONE SOCIO-SANITARIA: 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Diritti del malato nei luoghi di cura 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-diritto alla privacy nei luoghi di cura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-figure professionali che operano nel sociale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>Lavoro individuale: relazione sui diritti europei del paziente nei luoghi di cura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(8 ORE)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7) DOCENTE DI METODOLOGIE OPERATIVE (5 ORE)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  <w:t xml:space="preserve">-Creazione in laboratorio  di materiali ludico-ricreativi-per le attività di animazione nei periodi festivi dell’anno ……Natale, Carnevale, Pasqua… 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sz w:val="20"/>
                <w:szCs w:val="20"/>
              </w:rPr>
            </w:pPr>
            <w:r>
              <w:rPr>
                <w:rFonts w:eastAsia="Verdana" w:cs="Verdana" w:ascii="Verdana" w:hAnsi="Verdana"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  <w:t>8) DOCENTE DI Inglese …………………..(3 ORE)</w:t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/>
              <w:rPr>
                <w:rFonts w:ascii="Verdana" w:hAnsi="Verdana" w:eastAsia="Verdana" w:cs="Verdana"/>
                <w:b/>
                <w:b/>
                <w:sz w:val="20"/>
                <w:szCs w:val="20"/>
              </w:rPr>
            </w:pPr>
            <w:r>
              <w:rPr>
                <w:rFonts w:eastAsia="Verdana" w:cs="Verdana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265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VERIFICHE E VALUTAZIONE</w:t>
            </w:r>
          </w:p>
        </w:tc>
        <w:tc>
          <w:tcPr>
            <w:tcW w:w="73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120" w:after="120"/>
              <w:ind w:left="0" w:right="34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La valutazione sarà effettuata dai docenti coinvolti, sulla presentazione e realizzazione dell’attività secondo la griglia di seguito riportata.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Sul  Re l’attività di ogni docente sarà indicata come “ORA DI ED. CIVICA-UDA MULTIDISCIPLINARE”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Table2"/>
        <w:tblW w:w="10681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5334"/>
        <w:gridCol w:w="1333"/>
        <w:gridCol w:w="1333"/>
        <w:gridCol w:w="1333"/>
        <w:gridCol w:w="1348"/>
      </w:tblGrid>
      <w:tr>
        <w:trPr>
          <w:trHeight w:val="125" w:hRule="atLeast"/>
        </w:trPr>
        <w:tc>
          <w:tcPr>
            <w:tcW w:w="10681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ALUNNO:</w:t>
            </w:r>
          </w:p>
        </w:tc>
      </w:tr>
      <w:tr>
        <w:trPr>
          <w:trHeight w:val="125" w:hRule="atLeast"/>
        </w:trPr>
        <w:tc>
          <w:tcPr>
            <w:tcW w:w="10681" w:type="dxa"/>
            <w:gridSpan w:val="5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LIVELLI RAGGIUNTI DI COMPETENZA</w:t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</w:tr>
      <w:tr>
        <w:trPr>
          <w:trHeight w:val="612" w:hRule="atLeast"/>
        </w:trPr>
        <w:tc>
          <w:tcPr>
            <w:tcW w:w="53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2"/>
                <w:szCs w:val="22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FFFFFF" w:val="clear"/>
                <w:vertAlign w:val="baseline"/>
              </w:rPr>
              <w:t>Indicatori di valutazione</w:t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53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LIVELLI</w:t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center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</w:tr>
      <w:tr>
        <w:trPr>
          <w:trHeight w:val="1841" w:hRule="atLeast"/>
          <w:cantSplit w:val="true"/>
        </w:trPr>
        <w:tc>
          <w:tcPr>
            <w:tcW w:w="533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113" w:right="113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BASE NON RAGGIUNTO   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113" w:right="113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BASE      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113" w:right="113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INTERMEDIO    </w:t>
            </w:r>
          </w:p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113" w:right="113" w:hanging="0"/>
              <w:jc w:val="left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113" w:right="113" w:hanging="0"/>
              <w:jc w:val="center"/>
              <w:rPr>
                <w:rFonts w:ascii="Verdana" w:hAnsi="Verdana" w:eastAsia="Verdana" w:cs="Verdana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AVANZATO     </w:t>
            </w:r>
          </w:p>
        </w:tc>
      </w:tr>
      <w:tr>
        <w:trPr>
          <w:trHeight w:val="566" w:hRule="atLeast"/>
        </w:trPr>
        <w:tc>
          <w:tcPr>
            <w:tcW w:w="5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76" w:before="120" w:after="12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Essere in grado di ricercare informazioni sul web e/o su fonti documentali e gestirle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</w:tr>
      <w:tr>
        <w:trPr>
          <w:trHeight w:val="828" w:hRule="atLeast"/>
        </w:trPr>
        <w:tc>
          <w:tcPr>
            <w:tcW w:w="5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76" w:before="120" w:after="12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Analizzare dati e interpretarli sviluppando deduzioni e ragionamenti sugli stessi anche con l’ausilio di rappresentazioni grafiche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</w:tr>
      <w:tr>
        <w:trPr>
          <w:trHeight w:val="865" w:hRule="atLeast"/>
        </w:trPr>
        <w:tc>
          <w:tcPr>
            <w:tcW w:w="5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76" w:before="120" w:after="12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Produrre testi di vario tipo in relazione allo scopo comunicativo individuato in modo completo, corretto e pertinente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</w:tr>
      <w:tr>
        <w:trPr>
          <w:trHeight w:val="883" w:hRule="atLeast"/>
        </w:trPr>
        <w:tc>
          <w:tcPr>
            <w:tcW w:w="5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76" w:before="120" w:after="12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 xml:space="preserve">Utilizzare la lingua straniera (inglese o francese)per lo scopo comunicativo individuato 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</w:tr>
      <w:tr>
        <w:trPr>
          <w:trHeight w:val="1064" w:hRule="atLeast"/>
        </w:trPr>
        <w:tc>
          <w:tcPr>
            <w:tcW w:w="53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76" w:before="120" w:after="12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0"/>
                <w:szCs w:val="20"/>
                <w:highlight w:val="white"/>
                <w:u w:val="none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  <w:t>Padroneggiare gli strumenti espressivi ed argomentativi indispensabili per gestire l’interazione comunicativa verbale in vari contesti</w:t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pPr>
            <w:r>
              <w:rPr>
                <w:rFonts w:eastAsia="Verdana" w:cs="Verdana" w:ascii="Verdana" w:hAnsi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keepNext/>
              <w:keepLines w:val="false"/>
              <w:widowControl/>
              <w:pBdr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1"/>
                <w:sz w:val="21"/>
                <w:szCs w:val="21"/>
                <w:u w:val="none"/>
                <w:shd w:fill="FFFFFF" w:val="clear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start="1"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1077" w:hanging="360"/>
      </w:pPr>
      <w:rPr>
        <w:rFonts w:ascii="Noto Sans Symbols" w:hAnsi="Noto Sans Symbols" w:cs="Noto Sans Symbols" w:hint="default"/>
        <w:sz w:val="20"/>
        <w:b w:val="false"/>
        <w:rFonts w:cs="Noto Sans Symbols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2">
    <w:lvl w:ilvl="0">
      <w:numFmt w:val="bullet"/>
      <w:lvlText w:val="●"/>
      <w:lvlJc w:val="left"/>
      <w:pPr>
        <w:ind w:left="284" w:hanging="171"/>
      </w:pPr>
      <w:rPr>
        <w:rFonts w:ascii="Noto Sans Symbols" w:hAnsi="Noto Sans Symbols" w:cs="Noto Sans Symbols" w:hint="default"/>
        <w:sz w:val="20"/>
        <w:b w:val="false"/>
        <w:rFonts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3">
    <w:lvl w:ilvl="0">
      <w:numFmt w:val="bullet"/>
      <w:lvlText w:val="●"/>
      <w:lvlJc w:val="left"/>
      <w:pPr>
        <w:ind w:left="284" w:hanging="171"/>
      </w:pPr>
      <w:rPr>
        <w:rFonts w:ascii="Noto Sans Symbols" w:hAnsi="Noto Sans Symbols" w:cs="Noto Sans Symbols" w:hint="default"/>
        <w:sz w:val="20"/>
        <w:rFonts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4">
    <w:lvl w:ilvl="0">
      <w:numFmt w:val="bullet"/>
      <w:lvlText w:val="●"/>
      <w:lvlJc w:val="left"/>
      <w:pPr>
        <w:ind w:left="284" w:hanging="171"/>
      </w:pPr>
      <w:rPr>
        <w:rFonts w:ascii="Noto Sans Symbols" w:hAnsi="Noto Sans Symbols" w:cs="Noto Sans Symbols" w:hint="default"/>
        <w:sz w:val="20"/>
        <w:b w:val="false"/>
        <w:rFonts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fals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it-IT" w:eastAsia="zh-CN" w:bidi="hi-IN"/>
      </w:rPr>
    </w:rPrDefault>
    <w:pPrDefault>
      <w:pPr/>
    </w:pPrDefault>
  </w:docDefaults>
  <w:style w:type="paragraph" w:styleId="Normal" w:default="1">
    <w:name w:val="Normal"/>
    <w:qFormat/>
    <w:rsid w:val="00cc4bbb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sz w:val="24"/>
      <w:szCs w:val="24"/>
      <w:lang w:eastAsia="hi-IN" w:bidi="hi-IN" w:val="it-IT"/>
    </w:rPr>
  </w:style>
  <w:style w:type="paragraph" w:styleId="Titolo1">
    <w:name w:val="Heading 1"/>
    <w:basedOn w:val="Normal1"/>
    <w:next w:val="Normal"/>
    <w:qFormat/>
    <w:pPr>
      <w:keepNext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itolo2">
    <w:name w:val="Heading 2"/>
    <w:basedOn w:val="Normal1"/>
    <w:next w:val="Normal"/>
    <w:qFormat/>
    <w:pPr>
      <w:keepNext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itolo3">
    <w:name w:val="Heading 3"/>
    <w:basedOn w:val="Normal1"/>
    <w:next w:val="Normal"/>
    <w:qFormat/>
    <w:pPr>
      <w:keepNext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itolo4">
    <w:name w:val="Heading 4"/>
    <w:basedOn w:val="Normal1"/>
    <w:next w:val="Normal"/>
    <w:qFormat/>
    <w:pPr>
      <w:keepNext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itolo5">
    <w:name w:val="Heading 5"/>
    <w:basedOn w:val="Normal1"/>
    <w:next w:val="Normal"/>
    <w:qFormat/>
    <w:pPr>
      <w:keepNext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itolo6">
    <w:name w:val="Heading 6"/>
    <w:basedOn w:val="Normal1"/>
    <w:next w:val="Normal"/>
    <w:qFormat/>
    <w:pPr>
      <w:keepNext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testoCarattere" w:customStyle="1">
    <w:name w:val="Corpo testo Carattere"/>
    <w:basedOn w:val="DefaultParagraphFont"/>
    <w:link w:val="Corpotesto"/>
    <w:uiPriority w:val="99"/>
    <w:qFormat/>
    <w:rsid w:val="00cc4bbb"/>
    <w:rPr>
      <w:rFonts w:ascii="Arial" w:hAnsi="Arial" w:eastAsia="Times New Roman" w:cs="Arial"/>
      <w:b/>
      <w:bCs/>
      <w:i/>
      <w:iCs/>
      <w:color w:val="808080"/>
      <w:sz w:val="36"/>
      <w:szCs w:val="36"/>
      <w:lang w:eastAsia="zh-CN"/>
    </w:rPr>
  </w:style>
  <w:style w:type="character" w:styleId="ListLabel1">
    <w:name w:val="ListLabel 1"/>
    <w:qFormat/>
    <w:rPr>
      <w:rFonts w:ascii="Verdana" w:hAnsi="Verdana" w:eastAsia="Noto Sans Symbols" w:cs="Noto Sans Symbols"/>
      <w:b w:val="false"/>
      <w:sz w:val="20"/>
    </w:rPr>
  </w:style>
  <w:style w:type="character" w:styleId="ListLabel2">
    <w:name w:val="ListLabel 2"/>
    <w:qFormat/>
    <w:rPr>
      <w:rFonts w:eastAsia="Courier New" w:cs="Courier New"/>
    </w:rPr>
  </w:style>
  <w:style w:type="character" w:styleId="ListLabel3">
    <w:name w:val="ListLabel 3"/>
    <w:qFormat/>
    <w:rPr>
      <w:rFonts w:eastAsia="Noto Sans Symbols" w:cs="Noto Sans Symbols"/>
    </w:rPr>
  </w:style>
  <w:style w:type="character" w:styleId="ListLabel4">
    <w:name w:val="ListLabel 4"/>
    <w:qFormat/>
    <w:rPr>
      <w:rFonts w:eastAsia="Noto Sans Symbols" w:cs="Noto Sans Symbols"/>
    </w:rPr>
  </w:style>
  <w:style w:type="character" w:styleId="ListLabel5">
    <w:name w:val="ListLabel 5"/>
    <w:qFormat/>
    <w:rPr>
      <w:rFonts w:eastAsia="Courier New" w:cs="Courier New"/>
    </w:rPr>
  </w:style>
  <w:style w:type="character" w:styleId="ListLabel6">
    <w:name w:val="ListLabel 6"/>
    <w:qFormat/>
    <w:rPr>
      <w:rFonts w:eastAsia="Noto Sans Symbols" w:cs="Noto Sans Symbols"/>
    </w:rPr>
  </w:style>
  <w:style w:type="character" w:styleId="ListLabel7">
    <w:name w:val="ListLabel 7"/>
    <w:qFormat/>
    <w:rPr>
      <w:rFonts w:eastAsia="Noto Sans Symbols" w:cs="Noto Sans Symbols"/>
    </w:rPr>
  </w:style>
  <w:style w:type="character" w:styleId="ListLabel8">
    <w:name w:val="ListLabel 8"/>
    <w:qFormat/>
    <w:rPr>
      <w:rFonts w:eastAsia="Courier New" w:cs="Courier New"/>
    </w:rPr>
  </w:style>
  <w:style w:type="character" w:styleId="ListLabel9">
    <w:name w:val="ListLabel 9"/>
    <w:qFormat/>
    <w:rPr>
      <w:rFonts w:eastAsia="Noto Sans Symbols" w:cs="Noto Sans Symbols"/>
    </w:rPr>
  </w:style>
  <w:style w:type="character" w:styleId="ListLabel10">
    <w:name w:val="ListLabel 10"/>
    <w:qFormat/>
    <w:rPr>
      <w:rFonts w:ascii="Verdana" w:hAnsi="Verdana" w:eastAsia="Noto Sans Symbols" w:cs="Noto Sans Symbols"/>
      <w:b w:val="false"/>
      <w:sz w:val="20"/>
    </w:rPr>
  </w:style>
  <w:style w:type="character" w:styleId="ListLabel11">
    <w:name w:val="ListLabel 11"/>
    <w:qFormat/>
    <w:rPr>
      <w:rFonts w:eastAsia="Courier New" w:cs="Courier New"/>
    </w:rPr>
  </w:style>
  <w:style w:type="character" w:styleId="ListLabel12">
    <w:name w:val="ListLabel 12"/>
    <w:qFormat/>
    <w:rPr>
      <w:rFonts w:eastAsia="Noto Sans Symbols" w:cs="Noto Sans Symbols"/>
    </w:rPr>
  </w:style>
  <w:style w:type="character" w:styleId="ListLabel13">
    <w:name w:val="ListLabel 13"/>
    <w:qFormat/>
    <w:rPr>
      <w:rFonts w:eastAsia="Noto Sans Symbols" w:cs="Noto Sans Symbols"/>
    </w:rPr>
  </w:style>
  <w:style w:type="character" w:styleId="ListLabel14">
    <w:name w:val="ListLabel 14"/>
    <w:qFormat/>
    <w:rPr>
      <w:rFonts w:eastAsia="Courier New" w:cs="Courier New"/>
    </w:rPr>
  </w:style>
  <w:style w:type="character" w:styleId="ListLabel15">
    <w:name w:val="ListLabel 15"/>
    <w:qFormat/>
    <w:rPr>
      <w:rFonts w:eastAsia="Noto Sans Symbols" w:cs="Noto Sans Symbols"/>
    </w:rPr>
  </w:style>
  <w:style w:type="character" w:styleId="ListLabel16">
    <w:name w:val="ListLabel 16"/>
    <w:qFormat/>
    <w:rPr>
      <w:rFonts w:eastAsia="Noto Sans Symbols" w:cs="Noto Sans Symbols"/>
    </w:rPr>
  </w:style>
  <w:style w:type="character" w:styleId="ListLabel17">
    <w:name w:val="ListLabel 17"/>
    <w:qFormat/>
    <w:rPr>
      <w:rFonts w:eastAsia="Courier New" w:cs="Courier New"/>
    </w:rPr>
  </w:style>
  <w:style w:type="character" w:styleId="ListLabel18">
    <w:name w:val="ListLabel 18"/>
    <w:qFormat/>
    <w:rPr>
      <w:rFonts w:eastAsia="Noto Sans Symbols" w:cs="Noto Sans Symbols"/>
    </w:rPr>
  </w:style>
  <w:style w:type="character" w:styleId="ListLabel19">
    <w:name w:val="ListLabel 19"/>
    <w:qFormat/>
    <w:rPr>
      <w:rFonts w:ascii="Verdana" w:hAnsi="Verdana" w:eastAsia="Noto Sans Symbols" w:cs="Noto Sans Symbols"/>
      <w:sz w:val="20"/>
    </w:rPr>
  </w:style>
  <w:style w:type="character" w:styleId="ListLabel20">
    <w:name w:val="ListLabel 20"/>
    <w:qFormat/>
    <w:rPr>
      <w:rFonts w:eastAsia="Courier New" w:cs="Courier New"/>
    </w:rPr>
  </w:style>
  <w:style w:type="character" w:styleId="ListLabel21">
    <w:name w:val="ListLabel 21"/>
    <w:qFormat/>
    <w:rPr>
      <w:rFonts w:eastAsia="Noto Sans Symbols" w:cs="Noto Sans Symbols"/>
    </w:rPr>
  </w:style>
  <w:style w:type="character" w:styleId="ListLabel22">
    <w:name w:val="ListLabel 22"/>
    <w:qFormat/>
    <w:rPr>
      <w:rFonts w:eastAsia="Noto Sans Symbols" w:cs="Noto Sans Symbols"/>
    </w:rPr>
  </w:style>
  <w:style w:type="character" w:styleId="ListLabel23">
    <w:name w:val="ListLabel 23"/>
    <w:qFormat/>
    <w:rPr>
      <w:rFonts w:eastAsia="Courier New" w:cs="Courier New"/>
    </w:rPr>
  </w:style>
  <w:style w:type="character" w:styleId="ListLabel24">
    <w:name w:val="ListLabel 24"/>
    <w:qFormat/>
    <w:rPr>
      <w:rFonts w:eastAsia="Noto Sans Symbols" w:cs="Noto Sans Symbols"/>
    </w:rPr>
  </w:style>
  <w:style w:type="character" w:styleId="ListLabel25">
    <w:name w:val="ListLabel 25"/>
    <w:qFormat/>
    <w:rPr>
      <w:rFonts w:eastAsia="Noto Sans Symbols" w:cs="Noto Sans Symbols"/>
    </w:rPr>
  </w:style>
  <w:style w:type="character" w:styleId="ListLabel26">
    <w:name w:val="ListLabel 26"/>
    <w:qFormat/>
    <w:rPr>
      <w:rFonts w:eastAsia="Courier New" w:cs="Courier New"/>
    </w:rPr>
  </w:style>
  <w:style w:type="character" w:styleId="ListLabel27">
    <w:name w:val="ListLabel 27"/>
    <w:qFormat/>
    <w:rPr>
      <w:rFonts w:eastAsia="Noto Sans Symbols" w:cs="Noto Sans Symbols"/>
    </w:rPr>
  </w:style>
  <w:style w:type="character" w:styleId="ListLabel28">
    <w:name w:val="ListLabel 28"/>
    <w:qFormat/>
    <w:rPr>
      <w:rFonts w:ascii="Verdana" w:hAnsi="Verdana" w:eastAsia="Noto Sans Symbols" w:cs="Noto Sans Symbols"/>
      <w:b w:val="false"/>
      <w:sz w:val="20"/>
    </w:rPr>
  </w:style>
  <w:style w:type="character" w:styleId="ListLabel29">
    <w:name w:val="ListLabel 29"/>
    <w:qFormat/>
    <w:rPr>
      <w:rFonts w:eastAsia="Courier New" w:cs="Courier New"/>
    </w:rPr>
  </w:style>
  <w:style w:type="character" w:styleId="ListLabel30">
    <w:name w:val="ListLabel 30"/>
    <w:qFormat/>
    <w:rPr>
      <w:rFonts w:eastAsia="Noto Sans Symbols" w:cs="Noto Sans Symbols"/>
    </w:rPr>
  </w:style>
  <w:style w:type="character" w:styleId="ListLabel31">
    <w:name w:val="ListLabel 31"/>
    <w:qFormat/>
    <w:rPr>
      <w:rFonts w:eastAsia="Noto Sans Symbols" w:cs="Noto Sans Symbols"/>
    </w:rPr>
  </w:style>
  <w:style w:type="character" w:styleId="ListLabel32">
    <w:name w:val="ListLabel 32"/>
    <w:qFormat/>
    <w:rPr>
      <w:rFonts w:eastAsia="Courier New" w:cs="Courier New"/>
    </w:rPr>
  </w:style>
  <w:style w:type="character" w:styleId="ListLabel33">
    <w:name w:val="ListLabel 33"/>
    <w:qFormat/>
    <w:rPr>
      <w:rFonts w:eastAsia="Noto Sans Symbols" w:cs="Noto Sans Symbols"/>
    </w:rPr>
  </w:style>
  <w:style w:type="character" w:styleId="ListLabel34">
    <w:name w:val="ListLabel 34"/>
    <w:qFormat/>
    <w:rPr>
      <w:rFonts w:eastAsia="Noto Sans Symbols" w:cs="Noto Sans Symbols"/>
    </w:rPr>
  </w:style>
  <w:style w:type="character" w:styleId="ListLabel35">
    <w:name w:val="ListLabel 35"/>
    <w:qFormat/>
    <w:rPr>
      <w:rFonts w:eastAsia="Courier New" w:cs="Courier New"/>
    </w:rPr>
  </w:style>
  <w:style w:type="character" w:styleId="ListLabel36">
    <w:name w:val="ListLabel 36"/>
    <w:qFormat/>
    <w:rPr>
      <w:rFonts w:eastAsia="Noto Sans Symbols" w:cs="Noto Sans Symbol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cc4bbb"/>
    <w:pPr>
      <w:widowControl/>
      <w:ind w:right="34" w:hanging="0"/>
      <w:jc w:val="center"/>
    </w:pPr>
    <w:rPr>
      <w:rFonts w:ascii="Arial" w:hAnsi="Arial" w:eastAsia="Times New Roman" w:cs="Arial"/>
      <w:b/>
      <w:bCs/>
      <w:i/>
      <w:iCs/>
      <w:color w:val="808080"/>
      <w:sz w:val="36"/>
      <w:szCs w:val="36"/>
      <w:lang w:eastAsia="zh-CN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Liberation Serif" w:hAnsi="Liberation Serif" w:eastAsia="SimSun" w:cs="Arial"/>
      <w:color w:val="auto"/>
      <w:sz w:val="24"/>
      <w:szCs w:val="24"/>
      <w:lang w:val="it-IT" w:eastAsia="zh-CN" w:bidi="hi-IN"/>
    </w:rPr>
  </w:style>
  <w:style w:type="paragraph" w:styleId="Titoloprincipale">
    <w:name w:val="Title"/>
    <w:basedOn w:val="Normal1"/>
    <w:next w:val="Normal"/>
    <w:qFormat/>
    <w:pPr>
      <w:keepNext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Contenutotabella" w:customStyle="1">
    <w:name w:val="Contenuto tabella"/>
    <w:basedOn w:val="Normal"/>
    <w:uiPriority w:val="99"/>
    <w:qFormat/>
    <w:rsid w:val="00cc4bbb"/>
    <w:pPr>
      <w:suppressLineNumbers/>
    </w:pPr>
    <w:rPr/>
  </w:style>
  <w:style w:type="paragraph" w:styleId="ListParagraph">
    <w:name w:val="List Paragraph"/>
    <w:basedOn w:val="Normal"/>
    <w:uiPriority w:val="99"/>
    <w:qFormat/>
    <w:rsid w:val="00cc4bbb"/>
    <w:pPr>
      <w:ind w:left="720" w:hanging="0"/>
    </w:pPr>
    <w:rPr/>
  </w:style>
  <w:style w:type="paragraph" w:styleId="Default" w:customStyle="1">
    <w:name w:val="Default"/>
    <w:qFormat/>
    <w:rsid w:val="00cc4bbb"/>
    <w:pPr>
      <w:widowControl/>
      <w:suppressAutoHyphens w:val="true"/>
      <w:bidi w:val="0"/>
      <w:spacing w:lineRule="auto" w:line="240" w:before="0" w:after="0"/>
      <w:jc w:val="left"/>
    </w:pPr>
    <w:rPr>
      <w:rFonts w:ascii="Verdana" w:hAnsi="Verdana" w:eastAsia="Calibri" w:cs="Verdana"/>
      <w:color w:val="000000"/>
      <w:sz w:val="24"/>
      <w:szCs w:val="24"/>
      <w:lang w:eastAsia="ar-SA" w:val="it-IT" w:bidi="hi-IN"/>
    </w:rPr>
  </w:style>
  <w:style w:type="paragraph" w:styleId="Paragrafoelenco1" w:customStyle="1">
    <w:name w:val="Paragrafo elenco1"/>
    <w:basedOn w:val="Normal"/>
    <w:uiPriority w:val="99"/>
    <w:qFormat/>
    <w:rsid w:val="00cc4bbb"/>
    <w:pPr>
      <w:ind w:left="720" w:hanging="0"/>
    </w:pPr>
    <w:rPr/>
  </w:style>
  <w:style w:type="paragraph" w:styleId="NormalWeb">
    <w:name w:val="Normal (Web)"/>
    <w:basedOn w:val="Normal"/>
    <w:uiPriority w:val="99"/>
    <w:semiHidden/>
    <w:unhideWhenUsed/>
    <w:qFormat/>
    <w:rsid w:val="00d62381"/>
    <w:pPr>
      <w:widowControl/>
      <w:suppressAutoHyphens w:val="false"/>
      <w:spacing w:beforeAutospacing="1" w:afterAutospacing="1"/>
    </w:pPr>
    <w:rPr>
      <w:rFonts w:eastAsia="Times New Roman"/>
      <w:lang w:val="en-GB" w:eastAsia="en-GB" w:bidi="ar-SA"/>
    </w:rPr>
  </w:style>
  <w:style w:type="paragraph" w:styleId="Normale1" w:customStyle="1">
    <w:name w:val="Normale1"/>
    <w:qFormat/>
    <w:rsid w:val="00f33b1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en-GB" w:val="it-IT" w:bidi="hi-IN"/>
    </w:rPr>
  </w:style>
  <w:style w:type="paragraph" w:styleId="Sottotitolo">
    <w:name w:val="Subtitle"/>
    <w:basedOn w:val="Normal1"/>
    <w:next w:val="Normal"/>
    <w:qFormat/>
    <w:pPr>
      <w:keepNext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gbWEzJdriE3fWqDFFLZTptxLz7Xw==">AMUW2mXJu61/wLBVbs4q0Y3k7temjl0XAaGc55knHndMOYWVagnbarfW5XNJ4TBlQiZKifli6Tknh1qc/WOquDxQRSh5Ey2SR6ryyMmGUh7yQwIqJ8QcztPp3MoZ1iyZh96HvLn+tHOW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LibreOffice/5.1.2.2$Windows_x86 LibreOffice_project/d3bf12ecb743fc0d20e0be0c58ca359301eb705f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2022-11-22T09:57:00Z</dcterms:created>
  <dc:creator>Tiziana Mazzagardi</dc:creator>
  <dc:description/>
  <dc:language>it-IT</dc:language>
  <cp:lastModifiedBy/>
  <cp:revision>0</cp:revision>
  <dc:subject/>
  <dc:title/>
</cp:coreProperties>
</file>